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63B80" w14:textId="734706A4" w:rsidR="00394527" w:rsidRDefault="00394527" w:rsidP="00DF136D">
      <w:pPr>
        <w:tabs>
          <w:tab w:val="left" w:pos="1878"/>
        </w:tabs>
        <w:jc w:val="center"/>
        <w:rPr>
          <w:rFonts w:ascii="Arial" w:hAnsi="Arial" w:cs="Arial"/>
          <w:b/>
          <w:lang w:val="hr-HR"/>
        </w:rPr>
      </w:pPr>
    </w:p>
    <w:p w14:paraId="4501ECD6" w14:textId="7570A305" w:rsidR="00DF136D" w:rsidRDefault="00DF136D" w:rsidP="007B3441">
      <w:pPr>
        <w:tabs>
          <w:tab w:val="left" w:pos="1878"/>
        </w:tabs>
        <w:rPr>
          <w:rFonts w:ascii="Arial" w:hAnsi="Arial" w:cs="Arial"/>
          <w:b/>
          <w:lang w:val="hr-HR"/>
        </w:rPr>
      </w:pPr>
    </w:p>
    <w:p w14:paraId="7D2AFFEF" w14:textId="77777777" w:rsidR="005779E2" w:rsidRDefault="005779E2" w:rsidP="00394527">
      <w:pPr>
        <w:tabs>
          <w:tab w:val="left" w:pos="1878"/>
        </w:tabs>
        <w:jc w:val="center"/>
        <w:rPr>
          <w:rFonts w:ascii="Arial" w:hAnsi="Arial" w:cs="Arial"/>
          <w:b/>
          <w:lang w:val="hr-HR"/>
        </w:rPr>
      </w:pPr>
    </w:p>
    <w:p w14:paraId="4CC0EFF6" w14:textId="77777777" w:rsidR="007B3441" w:rsidRDefault="007B3441" w:rsidP="00394527">
      <w:pPr>
        <w:tabs>
          <w:tab w:val="left" w:pos="1878"/>
        </w:tabs>
        <w:jc w:val="center"/>
        <w:rPr>
          <w:rFonts w:ascii="Arial" w:hAnsi="Arial" w:cs="Arial"/>
          <w:b/>
          <w:lang w:val="hr-HR"/>
        </w:rPr>
      </w:pPr>
    </w:p>
    <w:p w14:paraId="60CA159B" w14:textId="77777777" w:rsidR="007B3441" w:rsidRDefault="007B3441" w:rsidP="00394527">
      <w:pPr>
        <w:tabs>
          <w:tab w:val="left" w:pos="1878"/>
        </w:tabs>
        <w:jc w:val="center"/>
        <w:rPr>
          <w:rFonts w:ascii="Arial" w:hAnsi="Arial" w:cs="Arial"/>
          <w:b/>
          <w:lang w:val="hr-HR"/>
        </w:rPr>
      </w:pPr>
    </w:p>
    <w:p w14:paraId="2F3C27BD" w14:textId="322DEC7B" w:rsidR="00DF136D" w:rsidRDefault="00394527" w:rsidP="007B3441">
      <w:pPr>
        <w:tabs>
          <w:tab w:val="left" w:pos="1878"/>
        </w:tabs>
        <w:jc w:val="center"/>
        <w:rPr>
          <w:rFonts w:ascii="Arial" w:hAnsi="Arial" w:cs="Arial"/>
          <w:lang w:val="hr-HR"/>
        </w:rPr>
      </w:pPr>
      <w:r w:rsidRPr="00C50C82">
        <w:rPr>
          <w:rFonts w:ascii="Arial" w:hAnsi="Arial" w:cs="Arial"/>
          <w:b/>
          <w:sz w:val="32"/>
          <w:szCs w:val="32"/>
          <w:lang w:val="hr-HR"/>
        </w:rPr>
        <w:t>INFORMACIJSKI LIST PROIZVODA</w:t>
      </w:r>
    </w:p>
    <w:tbl>
      <w:tblPr>
        <w:tblStyle w:val="TableGrid"/>
        <w:tblpPr w:leftFromText="180" w:rightFromText="180" w:vertAnchor="page" w:horzAnchor="margin" w:tblpX="85" w:tblpY="3653"/>
        <w:tblW w:w="4838" w:type="pct"/>
        <w:tblBorders>
          <w:top w:val="single" w:sz="2" w:space="0" w:color="auto"/>
        </w:tblBorders>
        <w:tblLook w:val="04A0" w:firstRow="1" w:lastRow="0" w:firstColumn="1" w:lastColumn="0" w:noHBand="0" w:noVBand="1"/>
      </w:tblPr>
      <w:tblGrid>
        <w:gridCol w:w="7191"/>
        <w:gridCol w:w="975"/>
        <w:gridCol w:w="1951"/>
      </w:tblGrid>
      <w:tr w:rsidR="00DF136D" w:rsidRPr="002B45A2" w14:paraId="49B998C0" w14:textId="77777777" w:rsidTr="00DF0D45">
        <w:trPr>
          <w:trHeight w:val="541"/>
        </w:trPr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CD4897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Naziv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ili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zaštitni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znak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6694E9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6B7022" w14:textId="513EA4A8" w:rsidR="00DF136D" w:rsidRPr="002B45A2" w:rsidRDefault="005E47C2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  <w:bdr w:val="none" w:sz="0" w:space="0" w:color="auto" w:frame="1"/>
              </w:rPr>
              <w:t>FUJITSU GENERAL</w:t>
            </w:r>
          </w:p>
        </w:tc>
      </w:tr>
      <w:tr w:rsidR="00DF136D" w:rsidRPr="002B45A2" w14:paraId="349C4F28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5D3C4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Model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unutarnjeg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uređaja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9F41F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573516" w14:textId="656784EE" w:rsidR="00DF136D" w:rsidRPr="002B45A2" w:rsidRDefault="001E7329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1E7329">
              <w:rPr>
                <w:rFonts w:ascii="Arial" w:hAnsi="Arial" w:cs="Arial"/>
                <w:color w:val="464A55"/>
                <w:sz w:val="20"/>
                <w:szCs w:val="20"/>
              </w:rPr>
              <w:t>ASEH</w:t>
            </w:r>
            <w:r w:rsidR="0048025F">
              <w:rPr>
                <w:rFonts w:ascii="Arial" w:hAnsi="Arial" w:cs="Arial"/>
                <w:color w:val="464A55"/>
                <w:sz w:val="20"/>
                <w:szCs w:val="20"/>
              </w:rPr>
              <w:t>09</w:t>
            </w:r>
            <w:r w:rsidRPr="001E7329">
              <w:rPr>
                <w:rFonts w:ascii="Arial" w:hAnsi="Arial" w:cs="Arial"/>
                <w:color w:val="464A55"/>
                <w:sz w:val="20"/>
                <w:szCs w:val="20"/>
              </w:rPr>
              <w:t>K</w:t>
            </w:r>
            <w:r w:rsidR="00F85FC7">
              <w:rPr>
                <w:rFonts w:ascii="Arial" w:hAnsi="Arial" w:cs="Arial"/>
                <w:color w:val="464A55"/>
                <w:sz w:val="20"/>
                <w:szCs w:val="20"/>
              </w:rPr>
              <w:t>NCA</w:t>
            </w:r>
          </w:p>
        </w:tc>
      </w:tr>
      <w:tr w:rsidR="00DF136D" w:rsidRPr="002B45A2" w14:paraId="0FFCFCDD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9573EA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Model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vanjskog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uređaja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8CD5A9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EDA5C3" w14:textId="29E3DF20" w:rsidR="00DF136D" w:rsidRPr="002B45A2" w:rsidRDefault="001E7329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1E7329">
              <w:rPr>
                <w:rFonts w:ascii="Arial" w:hAnsi="Arial" w:cs="Arial"/>
                <w:color w:val="464A55"/>
                <w:sz w:val="20"/>
                <w:szCs w:val="20"/>
              </w:rPr>
              <w:t>AOEH</w:t>
            </w:r>
            <w:r w:rsidR="0048025F">
              <w:rPr>
                <w:rFonts w:ascii="Arial" w:hAnsi="Arial" w:cs="Arial"/>
                <w:color w:val="464A55"/>
                <w:sz w:val="20"/>
                <w:szCs w:val="20"/>
              </w:rPr>
              <w:t>09</w:t>
            </w:r>
            <w:r w:rsidRPr="001E7329">
              <w:rPr>
                <w:rFonts w:ascii="Arial" w:hAnsi="Arial" w:cs="Arial"/>
                <w:color w:val="464A55"/>
                <w:sz w:val="20"/>
                <w:szCs w:val="20"/>
              </w:rPr>
              <w:t>K</w:t>
            </w:r>
            <w:r w:rsidR="00F85FC7">
              <w:rPr>
                <w:rFonts w:ascii="Arial" w:hAnsi="Arial" w:cs="Arial"/>
                <w:color w:val="464A55"/>
                <w:sz w:val="20"/>
                <w:szCs w:val="20"/>
              </w:rPr>
              <w:t>NCA</w:t>
            </w:r>
          </w:p>
        </w:tc>
      </w:tr>
      <w:tr w:rsidR="00DF136D" w:rsidRPr="002B45A2" w14:paraId="3BF882EA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7D67A6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64A55"/>
                <w:sz w:val="20"/>
                <w:szCs w:val="20"/>
              </w:rPr>
              <w:t>Unutarnja</w:t>
            </w:r>
            <w:proofErr w:type="spellEnd"/>
            <w:r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A55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A55"/>
                <w:sz w:val="20"/>
                <w:szCs w:val="20"/>
              </w:rPr>
              <w:t>vanjska</w:t>
            </w:r>
            <w:proofErr w:type="spellEnd"/>
            <w:r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A55"/>
                <w:sz w:val="20"/>
                <w:szCs w:val="20"/>
              </w:rPr>
              <w:t>razina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snage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zvuka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standardnim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uvjetima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FE4271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[dB]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47BBB2" w14:textId="2CF43B75" w:rsidR="00DF136D" w:rsidRPr="002B45A2" w:rsidRDefault="00CB1F3B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5</w:t>
            </w:r>
            <w:r w:rsidR="00F85FC7">
              <w:rPr>
                <w:rFonts w:ascii="Arial" w:hAnsi="Arial" w:cs="Arial"/>
                <w:color w:val="464A55"/>
                <w:sz w:val="20"/>
                <w:szCs w:val="20"/>
              </w:rPr>
              <w:t>3</w:t>
            </w:r>
            <w:r w:rsidR="00DF0D45">
              <w:rPr>
                <w:rFonts w:ascii="Arial" w:hAnsi="Arial" w:cs="Arial"/>
                <w:color w:val="464A55"/>
                <w:sz w:val="20"/>
                <w:szCs w:val="20"/>
              </w:rPr>
              <w:t>/</w:t>
            </w:r>
            <w:r w:rsidR="0048025F">
              <w:rPr>
                <w:rFonts w:ascii="Arial" w:hAnsi="Arial" w:cs="Arial"/>
                <w:color w:val="464A55"/>
                <w:sz w:val="20"/>
                <w:szCs w:val="20"/>
              </w:rPr>
              <w:t>5</w:t>
            </w:r>
            <w:r w:rsidR="00F85FC7">
              <w:rPr>
                <w:rFonts w:ascii="Arial" w:hAnsi="Arial" w:cs="Arial"/>
                <w:color w:val="464A55"/>
                <w:sz w:val="20"/>
                <w:szCs w:val="20"/>
              </w:rPr>
              <w:t>6</w:t>
            </w:r>
          </w:p>
        </w:tc>
      </w:tr>
      <w:tr w:rsidR="00DF136D" w:rsidRPr="002B45A2" w14:paraId="3889BB11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7C33063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Rashladno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sredstvo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241697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183636A" w14:textId="516D4205" w:rsidR="00DF136D" w:rsidRPr="002B45A2" w:rsidRDefault="00CB1F3B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R32</w:t>
            </w:r>
          </w:p>
        </w:tc>
      </w:tr>
      <w:tr w:rsidR="00DF136D" w:rsidRPr="002B45A2" w14:paraId="4A3F305D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DA41B0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GWP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6AD7E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0A8939" w14:textId="74F5541A" w:rsidR="00DF136D" w:rsidRPr="002B45A2" w:rsidRDefault="00CB1F3B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675</w:t>
            </w:r>
          </w:p>
        </w:tc>
      </w:tr>
      <w:tr w:rsidR="00DF136D" w:rsidRPr="002B45A2" w14:paraId="1A491C93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2F45C2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S</w:t>
            </w: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EER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942BD9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62EDCA" w14:textId="278B35B4" w:rsidR="00DF136D" w:rsidRPr="002B45A2" w:rsidRDefault="00F85FC7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7.4</w:t>
            </w:r>
          </w:p>
        </w:tc>
      </w:tr>
      <w:tr w:rsidR="00DF136D" w:rsidRPr="002B45A2" w14:paraId="7983CC13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DA041B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Razred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energetske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učinkovitosti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hlađenju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DC24FA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41E5" w14:textId="41294136" w:rsidR="00DF136D" w:rsidRPr="002B45A2" w:rsidRDefault="00CB1F3B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A++</w:t>
            </w:r>
          </w:p>
        </w:tc>
      </w:tr>
      <w:tr w:rsidR="00DF136D" w:rsidRPr="002B45A2" w14:paraId="05534329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38E598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Godišnja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potrošnja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energije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hlađenju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CCD941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</w:t>
            </w:r>
            <w:r>
              <w:rPr>
                <w:rFonts w:ascii="Arial" w:hAnsi="Arial" w:cs="Arial"/>
                <w:color w:val="464A55"/>
                <w:sz w:val="20"/>
                <w:szCs w:val="20"/>
              </w:rPr>
              <w:t>Wh/a</w:t>
            </w: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B74EB5" w14:textId="4640D10C" w:rsidR="00DF136D" w:rsidRPr="002B45A2" w:rsidRDefault="00DF0D45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1</w:t>
            </w:r>
            <w:r w:rsidR="00F85FC7">
              <w:rPr>
                <w:rFonts w:ascii="Arial" w:hAnsi="Arial" w:cs="Arial"/>
                <w:color w:val="464A55"/>
                <w:sz w:val="20"/>
                <w:szCs w:val="20"/>
              </w:rPr>
              <w:t>18</w:t>
            </w:r>
          </w:p>
        </w:tc>
      </w:tr>
      <w:tr w:rsidR="00DF136D" w:rsidRPr="002B45A2" w14:paraId="3112CA8A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44215B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Projektno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opterećenje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uređaja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hlađenju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(</w:t>
            </w:r>
            <w:proofErr w:type="spellStart"/>
            <w:r w:rsidRPr="002B45A2">
              <w:rPr>
                <w:rFonts w:ascii="Arial" w:hAnsi="Arial" w:cs="Arial"/>
                <w:color w:val="464A55"/>
                <w:sz w:val="16"/>
                <w:szCs w:val="16"/>
              </w:rPr>
              <w:t>Pdesignc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)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C0995E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C887E9" w14:textId="1007C51B" w:rsidR="00DF136D" w:rsidRPr="002B45A2" w:rsidRDefault="0048025F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2.5</w:t>
            </w:r>
          </w:p>
        </w:tc>
      </w:tr>
      <w:tr w:rsidR="00DF136D" w:rsidRPr="002B45A2" w14:paraId="5A331094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F0E241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SCOP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24B474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2B7BA3" w14:textId="11D4DED3" w:rsidR="00DF136D" w:rsidRPr="002B45A2" w:rsidRDefault="00DF0D45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4.</w:t>
            </w:r>
            <w:r w:rsidR="00F85FC7">
              <w:rPr>
                <w:rFonts w:ascii="Arial" w:hAnsi="Arial" w:cs="Arial"/>
                <w:color w:val="464A55"/>
                <w:sz w:val="20"/>
                <w:szCs w:val="20"/>
              </w:rPr>
              <w:t>4</w:t>
            </w:r>
          </w:p>
        </w:tc>
      </w:tr>
      <w:tr w:rsidR="00DF136D" w:rsidRPr="002B45A2" w14:paraId="0B64F2F5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0FDB0C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Razred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energetske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učinkovitosti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grijanju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(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prosječna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sezona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)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536109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BE4B8B" w14:textId="29937F2E" w:rsidR="00DF136D" w:rsidRPr="002B45A2" w:rsidRDefault="00CB1F3B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A+</w:t>
            </w:r>
          </w:p>
        </w:tc>
      </w:tr>
      <w:tr w:rsidR="00DF136D" w:rsidRPr="002B45A2" w14:paraId="6016C495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C96437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Godišnja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potrošnja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energije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grijanju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(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prosječna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sezona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)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166932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[kWh/</w:t>
            </w:r>
            <w:r>
              <w:rPr>
                <w:rFonts w:ascii="Arial" w:hAnsi="Arial" w:cs="Arial"/>
                <w:color w:val="464A55"/>
                <w:sz w:val="20"/>
                <w:szCs w:val="20"/>
              </w:rPr>
              <w:t>a</w:t>
            </w: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CE8D7E" w14:textId="0AD4602C" w:rsidR="00DF136D" w:rsidRPr="002B45A2" w:rsidRDefault="0048025F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7</w:t>
            </w:r>
            <w:r w:rsidR="00F85FC7">
              <w:rPr>
                <w:rFonts w:ascii="Arial" w:hAnsi="Arial" w:cs="Arial"/>
                <w:color w:val="464A55"/>
                <w:sz w:val="20"/>
                <w:szCs w:val="20"/>
              </w:rPr>
              <w:t>63</w:t>
            </w:r>
          </w:p>
        </w:tc>
      </w:tr>
      <w:tr w:rsidR="00DF136D" w:rsidRPr="002B45A2" w14:paraId="50E1EA59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806F9A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Toplija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sezona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grijanja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46613B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0CD8B1" w14:textId="77777777" w:rsidR="00DF136D" w:rsidRPr="002B45A2" w:rsidRDefault="00DF136D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-</w:t>
            </w:r>
          </w:p>
        </w:tc>
      </w:tr>
      <w:tr w:rsidR="00DF136D" w:rsidRPr="002B45A2" w14:paraId="47D8AEC1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E82F54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Hladnija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sezona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grijanja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6C5892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8EB593" w14:textId="77777777" w:rsidR="00DF136D" w:rsidRPr="002B45A2" w:rsidRDefault="00DF136D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-</w:t>
            </w:r>
          </w:p>
        </w:tc>
      </w:tr>
      <w:tr w:rsidR="00DF136D" w:rsidRPr="002B45A2" w14:paraId="7B2433EF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B50099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Projektno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opterećnje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uređaja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grijanju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(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</w:t>
            </w:r>
            <w:r w:rsidRPr="002B45A2">
              <w:rPr>
                <w:rFonts w:ascii="Arial" w:hAnsi="Arial" w:cs="Arial"/>
                <w:color w:val="464A55"/>
                <w:sz w:val="16"/>
                <w:szCs w:val="16"/>
              </w:rPr>
              <w:t>designh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)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E4C94B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0B28AC" w14:textId="398BE36B" w:rsidR="00DF136D" w:rsidRPr="002B45A2" w:rsidRDefault="00DF0D45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2.</w:t>
            </w:r>
            <w:r w:rsidR="00F85FC7">
              <w:rPr>
                <w:rFonts w:ascii="Arial" w:hAnsi="Arial" w:cs="Arial"/>
                <w:color w:val="464A55"/>
                <w:sz w:val="20"/>
                <w:szCs w:val="20"/>
              </w:rPr>
              <w:t>4</w:t>
            </w:r>
          </w:p>
        </w:tc>
      </w:tr>
      <w:tr w:rsidR="00DF136D" w:rsidRPr="002B45A2" w14:paraId="229B6F8C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E955C8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Deklarirani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kapacitet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u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predviđenim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uvjetima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rada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(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prosječna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sezona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)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8C9A2C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034C86" w14:textId="159B77F1" w:rsidR="00DF136D" w:rsidRPr="002B45A2" w:rsidRDefault="00F85FC7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2.02</w:t>
            </w:r>
            <w:bookmarkStart w:id="0" w:name="_GoBack"/>
            <w:bookmarkEnd w:id="0"/>
          </w:p>
        </w:tc>
      </w:tr>
      <w:tr w:rsidR="00DF136D" w:rsidRPr="002B45A2" w14:paraId="2EFD0B71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13108C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Kapacitet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pomoćnog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sustava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u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predviđenim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uvjetima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rada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(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prosječ</w:t>
            </w:r>
            <w:r>
              <w:rPr>
                <w:rFonts w:ascii="Arial" w:hAnsi="Arial" w:cs="Arial"/>
                <w:color w:val="464A55"/>
                <w:sz w:val="20"/>
                <w:szCs w:val="20"/>
              </w:rPr>
              <w:t>n</w:t>
            </w: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sezona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)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6E97A9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BD0F34" w14:textId="3C88E465" w:rsidR="00DF136D" w:rsidRPr="002B45A2" w:rsidRDefault="00DF136D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0</w:t>
            </w:r>
            <w:r w:rsidR="00DF0D45">
              <w:rPr>
                <w:rFonts w:ascii="Arial" w:hAnsi="Arial" w:cs="Arial"/>
                <w:color w:val="464A55"/>
                <w:sz w:val="20"/>
                <w:szCs w:val="20"/>
              </w:rPr>
              <w:t>.</w:t>
            </w:r>
            <w:r w:rsidR="00F85FC7">
              <w:rPr>
                <w:rFonts w:ascii="Arial" w:hAnsi="Arial" w:cs="Arial"/>
                <w:color w:val="464A55"/>
                <w:sz w:val="20"/>
                <w:szCs w:val="20"/>
              </w:rPr>
              <w:t>38</w:t>
            </w:r>
          </w:p>
        </w:tc>
      </w:tr>
      <w:tr w:rsidR="00DF136D" w:rsidRPr="00E86B50" w14:paraId="4B7A67A1" w14:textId="77777777" w:rsidTr="00DF136D">
        <w:tc>
          <w:tcPr>
            <w:tcW w:w="5000" w:type="pct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ACC7D1" w14:textId="14BF71E4" w:rsidR="00DF136D" w:rsidRPr="002B45A2" w:rsidRDefault="00DF136D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Istjecanje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rashladnih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sredstava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doprinosi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klimatskim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promjenama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. U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slučaju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ispuštanja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u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atmosferu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,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rashladno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sredstvo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s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nižim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potencijalom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globalnog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zagrijavanja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(GWP)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manje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bi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utjecalo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globalno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zagrijavanje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od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rashladnog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sredstva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s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višim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GWP-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om.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Ovaj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uređaj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sadrži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rashladnu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tekućinu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s GWP-om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jednakim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[</w:t>
            </w:r>
            <w:r w:rsidR="00DF0D45">
              <w:rPr>
                <w:rFonts w:ascii="Arial" w:hAnsi="Arial" w:cs="Arial"/>
                <w:color w:val="464A55"/>
                <w:sz w:val="20"/>
                <w:szCs w:val="20"/>
              </w:rPr>
              <w:t>675</w:t>
            </w:r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]. To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znači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da bi u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slučaju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istjecanja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1 kg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te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rashladne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tekućine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u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atmosferu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,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njezin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utjecaj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globalno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zagrijavanje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bio [</w:t>
            </w:r>
            <w:r w:rsidR="00DF0D45">
              <w:rPr>
                <w:rFonts w:ascii="Arial" w:hAnsi="Arial" w:cs="Arial"/>
                <w:color w:val="464A55"/>
                <w:sz w:val="20"/>
                <w:szCs w:val="20"/>
              </w:rPr>
              <w:t>675</w:t>
            </w:r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] puta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veći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od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utjecaja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1 kg CO</w:t>
            </w:r>
            <w:r w:rsidRPr="003E14A5">
              <w:rPr>
                <w:rFonts w:ascii="Arial" w:hAnsi="Arial" w:cs="Arial"/>
                <w:color w:val="464A55"/>
                <w:sz w:val="20"/>
                <w:szCs w:val="20"/>
                <w:vertAlign w:val="subscript"/>
              </w:rPr>
              <w:t>2</w:t>
            </w:r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tijekom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razdoblja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od 100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godina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.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Nikada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sami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ne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pokušavajte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raditi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bilo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kakve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zahvate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rashladnom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krugu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,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niti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rastavljati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proizvod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za to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uvijek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zovite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stručnjaka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.</w:t>
            </w:r>
          </w:p>
        </w:tc>
      </w:tr>
    </w:tbl>
    <w:p w14:paraId="75AF6477" w14:textId="77777777" w:rsidR="00DF136D" w:rsidRDefault="00DF136D" w:rsidP="00DF136D">
      <w:pPr>
        <w:tabs>
          <w:tab w:val="left" w:pos="1878"/>
        </w:tabs>
        <w:jc w:val="both"/>
        <w:rPr>
          <w:rFonts w:ascii="Arial" w:hAnsi="Arial" w:cs="Arial"/>
          <w:sz w:val="20"/>
          <w:szCs w:val="20"/>
          <w:lang w:val="hr-HR"/>
        </w:rPr>
      </w:pPr>
    </w:p>
    <w:p w14:paraId="280E2375" w14:textId="77777777" w:rsidR="007B3441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</w:p>
    <w:p w14:paraId="4172F96C" w14:textId="77777777" w:rsidR="007B3441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</w:p>
    <w:p w14:paraId="72D78DBB" w14:textId="77777777" w:rsidR="007B3441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</w:p>
    <w:p w14:paraId="0FC40405" w14:textId="77777777" w:rsidR="007B3441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</w:p>
    <w:p w14:paraId="6DDAE438" w14:textId="77777777" w:rsidR="007B3441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</w:p>
    <w:p w14:paraId="01721F39" w14:textId="77777777" w:rsidR="007B3441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</w:p>
    <w:p w14:paraId="2BB5012C" w14:textId="78731D23" w:rsidR="00251E6E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noProof/>
          <w:sz w:val="20"/>
          <w:szCs w:val="20"/>
          <w:lang w:val="hr-HR" w:eastAsia="hr-HR"/>
        </w:rPr>
        <w:drawing>
          <wp:inline distT="0" distB="0" distL="0" distR="0" wp14:anchorId="7331C37E" wp14:editId="4A3186C2">
            <wp:extent cx="1552694" cy="57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94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BF5D7" w14:textId="77777777" w:rsidR="00C50C82" w:rsidRDefault="00C50C82" w:rsidP="00DF136D">
      <w:pPr>
        <w:tabs>
          <w:tab w:val="left" w:pos="1878"/>
        </w:tabs>
        <w:jc w:val="both"/>
        <w:rPr>
          <w:rFonts w:ascii="Arial" w:hAnsi="Arial" w:cs="Arial"/>
          <w:sz w:val="20"/>
          <w:szCs w:val="20"/>
          <w:lang w:val="hr-HR"/>
        </w:rPr>
      </w:pPr>
    </w:p>
    <w:p w14:paraId="5622FF50" w14:textId="77777777" w:rsidR="00DF136D" w:rsidRDefault="00DF136D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DF136D">
        <w:rPr>
          <w:rFonts w:ascii="Arial" w:hAnsi="Arial" w:cs="Arial"/>
          <w:sz w:val="20"/>
          <w:szCs w:val="20"/>
          <w:lang w:val="hr-HR"/>
        </w:rPr>
        <w:t>UVOZNIK</w:t>
      </w:r>
      <w:r>
        <w:rPr>
          <w:rFonts w:ascii="Arial" w:hAnsi="Arial" w:cs="Arial"/>
          <w:sz w:val="20"/>
          <w:szCs w:val="20"/>
          <w:lang w:val="hr-HR"/>
        </w:rPr>
        <w:t>:</w:t>
      </w:r>
    </w:p>
    <w:p w14:paraId="67EDFF28" w14:textId="07CF605D" w:rsidR="00251E6E" w:rsidRPr="00251E6E" w:rsidRDefault="00826902" w:rsidP="005779E2">
      <w:pPr>
        <w:tabs>
          <w:tab w:val="left" w:pos="1878"/>
        </w:tabs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ALFASOL</w:t>
      </w:r>
      <w:r w:rsidR="00DF136D" w:rsidRPr="00251E6E">
        <w:rPr>
          <w:rFonts w:ascii="Arial" w:hAnsi="Arial" w:cs="Arial"/>
          <w:b/>
          <w:bCs/>
          <w:sz w:val="20"/>
          <w:szCs w:val="20"/>
          <w:lang w:val="hr-HR"/>
        </w:rPr>
        <w:t xml:space="preserve"> D.O.O.</w:t>
      </w:r>
    </w:p>
    <w:p w14:paraId="45D69C75" w14:textId="728EDAED" w:rsidR="00251E6E" w:rsidRDefault="00251E6E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251E6E">
        <w:rPr>
          <w:rFonts w:ascii="Arial" w:hAnsi="Arial" w:cs="Arial"/>
          <w:sz w:val="20"/>
          <w:szCs w:val="20"/>
          <w:lang w:val="hr-HR"/>
        </w:rPr>
        <w:t>Ulica kneza Branimira 189, 10040 Zagreb, Hrvatska – Croatia</w:t>
      </w:r>
    </w:p>
    <w:p w14:paraId="30629620" w14:textId="784E8DB2" w:rsidR="00251E6E" w:rsidRPr="00251E6E" w:rsidRDefault="00251E6E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251E6E">
        <w:rPr>
          <w:rFonts w:ascii="Arial" w:hAnsi="Arial" w:cs="Arial"/>
          <w:sz w:val="20"/>
          <w:szCs w:val="20"/>
          <w:lang w:val="hr-HR"/>
        </w:rPr>
        <w:t>Tel: 01 2</w:t>
      </w:r>
      <w:r w:rsidR="00826902">
        <w:rPr>
          <w:rFonts w:ascii="Arial" w:hAnsi="Arial" w:cs="Arial"/>
          <w:sz w:val="20"/>
          <w:szCs w:val="20"/>
          <w:lang w:val="hr-HR"/>
        </w:rPr>
        <w:t>92 29 84</w:t>
      </w:r>
      <w:r>
        <w:rPr>
          <w:rFonts w:ascii="Arial" w:hAnsi="Arial" w:cs="Arial"/>
          <w:sz w:val="20"/>
          <w:szCs w:val="20"/>
          <w:lang w:val="hr-HR"/>
        </w:rPr>
        <w:t xml:space="preserve">; </w:t>
      </w:r>
      <w:r w:rsidRPr="00251E6E">
        <w:rPr>
          <w:rFonts w:ascii="Arial" w:hAnsi="Arial" w:cs="Arial"/>
          <w:sz w:val="20"/>
          <w:szCs w:val="20"/>
          <w:lang w:val="hr-HR"/>
        </w:rPr>
        <w:t>Fax: 01 2</w:t>
      </w:r>
      <w:r w:rsidR="00826902">
        <w:rPr>
          <w:rFonts w:ascii="Arial" w:hAnsi="Arial" w:cs="Arial"/>
          <w:sz w:val="20"/>
          <w:szCs w:val="20"/>
          <w:lang w:val="hr-HR"/>
        </w:rPr>
        <w:t>92 29 84</w:t>
      </w:r>
    </w:p>
    <w:p w14:paraId="451F21C3" w14:textId="6D719AA6" w:rsidR="00251E6E" w:rsidRDefault="00251E6E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251E6E">
        <w:rPr>
          <w:rFonts w:ascii="Arial" w:hAnsi="Arial" w:cs="Arial"/>
          <w:sz w:val="20"/>
          <w:szCs w:val="20"/>
          <w:lang w:val="hr-HR"/>
        </w:rPr>
        <w:t>e-mail: info@klimatizacija.hr</w:t>
      </w:r>
    </w:p>
    <w:p w14:paraId="179E9B3F" w14:textId="6C8A0B69" w:rsidR="00251E6E" w:rsidRDefault="00251E6E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251E6E">
        <w:rPr>
          <w:rFonts w:ascii="Arial" w:hAnsi="Arial" w:cs="Arial"/>
          <w:sz w:val="20"/>
          <w:szCs w:val="20"/>
          <w:lang w:val="hr-HR"/>
        </w:rPr>
        <w:t xml:space="preserve">OIB: </w:t>
      </w:r>
      <w:r w:rsidR="00826902">
        <w:rPr>
          <w:rFonts w:ascii="Arial" w:hAnsi="Arial" w:cs="Arial"/>
          <w:sz w:val="20"/>
          <w:szCs w:val="20"/>
          <w:lang w:val="hr-HR"/>
        </w:rPr>
        <w:t>40343790595</w:t>
      </w:r>
    </w:p>
    <w:p w14:paraId="7796EF27" w14:textId="2BE6E928" w:rsidR="00251E6E" w:rsidRDefault="00251E6E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251E6E">
        <w:rPr>
          <w:rFonts w:ascii="Arial" w:hAnsi="Arial" w:cs="Arial"/>
          <w:sz w:val="20"/>
          <w:szCs w:val="20"/>
          <w:lang w:val="hr-HR"/>
        </w:rPr>
        <w:t>IBAN: HR</w:t>
      </w:r>
      <w:r w:rsidR="00826902">
        <w:rPr>
          <w:rFonts w:ascii="Arial" w:hAnsi="Arial" w:cs="Arial"/>
          <w:sz w:val="20"/>
          <w:szCs w:val="20"/>
          <w:lang w:val="hr-HR"/>
        </w:rPr>
        <w:t>3123600001102317803</w:t>
      </w:r>
    </w:p>
    <w:p w14:paraId="5AED140A" w14:textId="48D90BEF" w:rsidR="00251E6E" w:rsidRPr="00DF136D" w:rsidRDefault="00251E6E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251E6E">
        <w:rPr>
          <w:rFonts w:ascii="Arial" w:hAnsi="Arial" w:cs="Arial"/>
          <w:sz w:val="20"/>
          <w:szCs w:val="20"/>
          <w:lang w:val="hr-HR"/>
        </w:rPr>
        <w:t>www.klimatizacija.hr</w:t>
      </w:r>
    </w:p>
    <w:sectPr w:rsidR="00251E6E" w:rsidRPr="00DF136D" w:rsidSect="00E86B50">
      <w:headerReference w:type="default" r:id="rId9"/>
      <w:footerReference w:type="default" r:id="rId10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E7044" w14:textId="77777777" w:rsidR="00A309B5" w:rsidRDefault="00A309B5" w:rsidP="00271015">
      <w:r>
        <w:separator/>
      </w:r>
    </w:p>
  </w:endnote>
  <w:endnote w:type="continuationSeparator" w:id="0">
    <w:p w14:paraId="715E763E" w14:textId="77777777" w:rsidR="00A309B5" w:rsidRDefault="00A309B5" w:rsidP="0027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E99C" w14:textId="28C22735" w:rsidR="00251E6E" w:rsidRPr="00636322" w:rsidRDefault="00952193" w:rsidP="00251E6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hr-HR"/>
      </w:rPr>
      <w:t xml:space="preserve">     </w:t>
    </w:r>
  </w:p>
  <w:p w14:paraId="3C2A83B6" w14:textId="7270CB36" w:rsidR="00BB3C4D" w:rsidRPr="00636322" w:rsidRDefault="00BB3C4D" w:rsidP="00952193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1E8F4" w14:textId="77777777" w:rsidR="00A309B5" w:rsidRDefault="00A309B5" w:rsidP="00271015">
      <w:r>
        <w:separator/>
      </w:r>
    </w:p>
  </w:footnote>
  <w:footnote w:type="continuationSeparator" w:id="0">
    <w:p w14:paraId="0282FBD6" w14:textId="77777777" w:rsidR="00A309B5" w:rsidRDefault="00A309B5" w:rsidP="0027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65369" w14:textId="740F949A" w:rsidR="00271015" w:rsidRDefault="00826902" w:rsidP="00271015">
    <w:pPr>
      <w:pStyle w:val="Header"/>
    </w:pPr>
    <w:r>
      <w:rPr>
        <w:noProof/>
        <w:lang w:val="hr-HR" w:eastAsia="hr-HR"/>
      </w:rPr>
      <w:drawing>
        <wp:inline distT="0" distB="0" distL="0" distR="0" wp14:anchorId="510F2DA9" wp14:editId="712D5B2C">
          <wp:extent cx="1378723" cy="64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0px-Fujit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23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714C">
      <w:t xml:space="preserve">                          </w:t>
    </w:r>
    <w:r w:rsidR="00394527">
      <w:t xml:space="preserve">           </w:t>
    </w:r>
    <w:r>
      <w:t xml:space="preserve">                            </w:t>
    </w:r>
    <w:r w:rsidR="00394527">
      <w:t xml:space="preserve">               </w:t>
    </w:r>
    <w:r w:rsidR="00F8714C">
      <w:t xml:space="preserve">    </w:t>
    </w:r>
    <w:r w:rsidR="00271015">
      <w:rPr>
        <w:noProof/>
        <w:lang w:val="hr-HR" w:eastAsia="hr-HR"/>
      </w:rPr>
      <w:drawing>
        <wp:inline distT="0" distB="0" distL="0" distR="0" wp14:anchorId="77263BF9" wp14:editId="456B7B68">
          <wp:extent cx="2046315" cy="6480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mat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31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435B8"/>
    <w:multiLevelType w:val="hybridMultilevel"/>
    <w:tmpl w:val="01509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61A44"/>
    <w:multiLevelType w:val="hybridMultilevel"/>
    <w:tmpl w:val="E9CE1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C8"/>
    <w:rsid w:val="00106405"/>
    <w:rsid w:val="001E7329"/>
    <w:rsid w:val="00245300"/>
    <w:rsid w:val="00251E6E"/>
    <w:rsid w:val="00271015"/>
    <w:rsid w:val="002A7864"/>
    <w:rsid w:val="003007E3"/>
    <w:rsid w:val="00394527"/>
    <w:rsid w:val="003D039B"/>
    <w:rsid w:val="003E14A5"/>
    <w:rsid w:val="004611DC"/>
    <w:rsid w:val="0048025F"/>
    <w:rsid w:val="00505EF6"/>
    <w:rsid w:val="005063DB"/>
    <w:rsid w:val="005779E2"/>
    <w:rsid w:val="005B1A2A"/>
    <w:rsid w:val="005E47C2"/>
    <w:rsid w:val="005E5DCF"/>
    <w:rsid w:val="00636322"/>
    <w:rsid w:val="00703D82"/>
    <w:rsid w:val="0073437F"/>
    <w:rsid w:val="007B3441"/>
    <w:rsid w:val="00826902"/>
    <w:rsid w:val="008353B6"/>
    <w:rsid w:val="008615C8"/>
    <w:rsid w:val="0089033C"/>
    <w:rsid w:val="00952193"/>
    <w:rsid w:val="00966D4D"/>
    <w:rsid w:val="009E7884"/>
    <w:rsid w:val="009F6BFC"/>
    <w:rsid w:val="00A309B5"/>
    <w:rsid w:val="00A72FFB"/>
    <w:rsid w:val="00BB3C4D"/>
    <w:rsid w:val="00BC546E"/>
    <w:rsid w:val="00C355D4"/>
    <w:rsid w:val="00C50C82"/>
    <w:rsid w:val="00CB1F3B"/>
    <w:rsid w:val="00D10198"/>
    <w:rsid w:val="00DF0D45"/>
    <w:rsid w:val="00DF136D"/>
    <w:rsid w:val="00E04C77"/>
    <w:rsid w:val="00E86B50"/>
    <w:rsid w:val="00F85FC7"/>
    <w:rsid w:val="00F8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12E32"/>
  <w15:docId w15:val="{DD5B2532-4F78-40FE-A14A-3E815091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615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5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0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0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10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0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BB3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F3F6-9E12-4348-B48B-C4054D7A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Govorčinović</dc:creator>
  <cp:lastModifiedBy>Korisnik12</cp:lastModifiedBy>
  <cp:revision>2</cp:revision>
  <cp:lastPrinted>2020-03-24T08:32:00Z</cp:lastPrinted>
  <dcterms:created xsi:type="dcterms:W3CDTF">2024-04-23T07:31:00Z</dcterms:created>
  <dcterms:modified xsi:type="dcterms:W3CDTF">2024-04-23T07:31:00Z</dcterms:modified>
</cp:coreProperties>
</file>